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D0702" w14:textId="77777777" w:rsidR="009A22AA" w:rsidRDefault="009A22AA">
      <w:pPr>
        <w:rPr>
          <w:rFonts w:ascii="Arial" w:hAnsi="Arial"/>
        </w:rPr>
      </w:pPr>
    </w:p>
    <w:p w14:paraId="345D0703" w14:textId="77777777" w:rsidR="009A22AA" w:rsidRDefault="009A22AA">
      <w:pPr>
        <w:rPr>
          <w:rFonts w:ascii="Arial" w:hAnsi="Arial"/>
        </w:rPr>
      </w:pPr>
    </w:p>
    <w:p w14:paraId="345D0704" w14:textId="77777777" w:rsidR="009A22AA" w:rsidRDefault="009A22AA">
      <w:pPr>
        <w:rPr>
          <w:rFonts w:ascii="Arial" w:hAnsi="Arial"/>
        </w:rPr>
      </w:pPr>
    </w:p>
    <w:p w14:paraId="345D0705" w14:textId="77777777" w:rsidR="009A22AA" w:rsidRDefault="009A22AA">
      <w:pPr>
        <w:jc w:val="center"/>
        <w:rPr>
          <w:rFonts w:ascii="Arial" w:hAnsi="Arial" w:cs="Times New Roman"/>
          <w:b/>
          <w:bCs/>
        </w:rPr>
      </w:pPr>
    </w:p>
    <w:p w14:paraId="345D0706" w14:textId="77777777" w:rsidR="009A22AA" w:rsidRDefault="009A22AA">
      <w:pPr>
        <w:jc w:val="center"/>
        <w:rPr>
          <w:rFonts w:ascii="Arial" w:hAnsi="Arial" w:cs="Times New Roman"/>
          <w:b/>
          <w:bCs/>
        </w:rPr>
      </w:pPr>
    </w:p>
    <w:p w14:paraId="345D0707" w14:textId="77777777" w:rsidR="009A22AA" w:rsidRDefault="009A22AA">
      <w:pPr>
        <w:jc w:val="center"/>
        <w:rPr>
          <w:rFonts w:ascii="Arial" w:hAnsi="Arial" w:cs="Times New Roman"/>
          <w:b/>
          <w:bCs/>
        </w:rPr>
      </w:pPr>
    </w:p>
    <w:p w14:paraId="345D0708" w14:textId="77777777" w:rsidR="009A22AA" w:rsidRDefault="009A22AA">
      <w:pPr>
        <w:jc w:val="center"/>
        <w:rPr>
          <w:rFonts w:ascii="Arial" w:hAnsi="Arial" w:cs="Times New Roman"/>
          <w:b/>
          <w:bCs/>
        </w:rPr>
      </w:pPr>
    </w:p>
    <w:p w14:paraId="345D0709" w14:textId="77777777" w:rsidR="009A22AA" w:rsidRDefault="009A22AA">
      <w:pPr>
        <w:jc w:val="center"/>
        <w:rPr>
          <w:rFonts w:ascii="Arial" w:hAnsi="Arial" w:cs="Times New Roman"/>
          <w:b/>
          <w:bCs/>
        </w:rPr>
      </w:pPr>
    </w:p>
    <w:p w14:paraId="345D070A" w14:textId="77777777" w:rsidR="009A22AA" w:rsidRDefault="009A22AA">
      <w:pPr>
        <w:jc w:val="center"/>
        <w:rPr>
          <w:rFonts w:ascii="Arial" w:hAnsi="Arial" w:cs="Times New Roman"/>
          <w:b/>
          <w:bCs/>
        </w:rPr>
      </w:pPr>
    </w:p>
    <w:p w14:paraId="345D070B" w14:textId="77777777" w:rsidR="009A22AA" w:rsidRDefault="005476CB">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345D070C" w14:textId="5E72AF2A" w:rsidR="009A22AA" w:rsidRDefault="007C0C1F">
      <w:pPr>
        <w:jc w:val="center"/>
        <w:rPr>
          <w:rFonts w:hint="eastAsia"/>
        </w:rPr>
      </w:pPr>
      <w:r>
        <w:rPr>
          <w:rFonts w:ascii="Arial" w:hAnsi="Arial" w:cs="Times New Roman"/>
          <w:b/>
          <w:bCs/>
          <w:sz w:val="44"/>
          <w:szCs w:val="44"/>
        </w:rPr>
        <w:t>d</w:t>
      </w:r>
      <w:r w:rsidR="005476CB">
        <w:rPr>
          <w:rFonts w:ascii="Arial" w:hAnsi="Arial" w:cs="Times New Roman"/>
          <w:b/>
          <w:bCs/>
          <w:sz w:val="44"/>
          <w:szCs w:val="44"/>
        </w:rPr>
        <w:t xml:space="preserve">ella funzione </w:t>
      </w:r>
      <w:r w:rsidR="00787351">
        <w:rPr>
          <w:rFonts w:ascii="Arial" w:hAnsi="Arial" w:cs="Times New Roman"/>
          <w:b/>
          <w:bCs/>
          <w:sz w:val="44"/>
          <w:szCs w:val="44"/>
        </w:rPr>
        <w:t xml:space="preserve">GESTIONE DEL </w:t>
      </w:r>
      <w:r w:rsidR="005476CB">
        <w:rPr>
          <w:rFonts w:ascii="Arial" w:hAnsi="Arial" w:cs="Times New Roman"/>
          <w:b/>
          <w:bCs/>
          <w:sz w:val="44"/>
          <w:szCs w:val="44"/>
        </w:rPr>
        <w:t>PERSONALE</w:t>
      </w:r>
    </w:p>
    <w:p w14:paraId="345D070D" w14:textId="77777777" w:rsidR="009A22AA" w:rsidRDefault="009A22AA">
      <w:pPr>
        <w:jc w:val="center"/>
        <w:rPr>
          <w:rFonts w:ascii="Arial" w:hAnsi="Arial" w:cs="Times New Roman"/>
          <w:b/>
          <w:bCs/>
          <w:sz w:val="44"/>
          <w:szCs w:val="44"/>
        </w:rPr>
      </w:pPr>
    </w:p>
    <w:p w14:paraId="345D070E" w14:textId="7E09179A" w:rsidR="009A22AA" w:rsidRDefault="005476CB">
      <w:pPr>
        <w:widowControl w:val="0"/>
        <w:spacing w:line="479" w:lineRule="exact"/>
        <w:jc w:val="both"/>
        <w:rPr>
          <w:rFonts w:hint="eastAsia"/>
        </w:rPr>
      </w:pPr>
      <w:r>
        <w:rPr>
          <w:rFonts w:ascii="Arial" w:eastAsia="Times New Roman" w:hAnsi="Arial"/>
          <w:b/>
          <w:kern w:val="0"/>
          <w:lang w:eastAsia="it-IT" w:bidi="ar-SA"/>
        </w:rPr>
        <w:t>CONVENZIONE FRA I COMUNI DI ...., ...., ...., ...., .... e L’UNIONE ...., PER IL CONFERIMENTO ALL’UNIONE della funzione  PERSONALE (ART. 7, COMMA 3, L.R. 21/2012 SUCC. MODIF., DECRETO LEGGE N. 78/2010, ART. 14, COMMA 27, lett. A)</w:t>
      </w:r>
    </w:p>
    <w:p w14:paraId="345D070F" w14:textId="77777777" w:rsidR="009A22AA" w:rsidRDefault="009A22AA">
      <w:pPr>
        <w:rPr>
          <w:rFonts w:hint="eastAsia"/>
          <w:sz w:val="44"/>
          <w:szCs w:val="44"/>
        </w:rPr>
      </w:pPr>
    </w:p>
    <w:p w14:paraId="345D0710" w14:textId="77777777" w:rsidR="009A22AA" w:rsidRDefault="009A22AA">
      <w:pPr>
        <w:jc w:val="center"/>
        <w:rPr>
          <w:rFonts w:ascii="Arial" w:hAnsi="Arial" w:cs="Times New Roman"/>
          <w:b/>
          <w:bCs/>
          <w:sz w:val="44"/>
          <w:szCs w:val="44"/>
        </w:rPr>
      </w:pPr>
    </w:p>
    <w:p w14:paraId="345D0711" w14:textId="77777777" w:rsidR="009A22AA" w:rsidRDefault="009A22AA">
      <w:pPr>
        <w:jc w:val="center"/>
        <w:rPr>
          <w:rFonts w:ascii="Arial" w:hAnsi="Arial" w:cs="Times New Roman"/>
          <w:b/>
          <w:bCs/>
          <w:sz w:val="44"/>
          <w:szCs w:val="44"/>
        </w:rPr>
      </w:pPr>
    </w:p>
    <w:p w14:paraId="345D0712" w14:textId="77777777" w:rsidR="009A22AA" w:rsidRDefault="009A22AA">
      <w:pPr>
        <w:jc w:val="center"/>
        <w:rPr>
          <w:rFonts w:ascii="Arial" w:hAnsi="Arial" w:cs="Times New Roman"/>
          <w:b/>
          <w:bCs/>
        </w:rPr>
      </w:pPr>
    </w:p>
    <w:p w14:paraId="345D0713" w14:textId="77777777" w:rsidR="009A22AA" w:rsidRDefault="009A22AA">
      <w:pPr>
        <w:jc w:val="center"/>
        <w:rPr>
          <w:rFonts w:ascii="Arial" w:hAnsi="Arial" w:cs="Times New Roman"/>
          <w:b/>
          <w:bCs/>
        </w:rPr>
      </w:pPr>
    </w:p>
    <w:p w14:paraId="345D0714" w14:textId="77777777" w:rsidR="009A22AA" w:rsidRDefault="009A22AA">
      <w:pPr>
        <w:jc w:val="center"/>
        <w:rPr>
          <w:rFonts w:ascii="Arial" w:hAnsi="Arial" w:cs="Times New Roman"/>
          <w:b/>
          <w:bCs/>
        </w:rPr>
      </w:pPr>
    </w:p>
    <w:p w14:paraId="345D0715" w14:textId="77777777" w:rsidR="009A22AA" w:rsidRDefault="009A22AA">
      <w:pPr>
        <w:jc w:val="center"/>
        <w:rPr>
          <w:rFonts w:ascii="Arial" w:hAnsi="Arial" w:cs="Times New Roman"/>
          <w:b/>
          <w:bCs/>
        </w:rPr>
      </w:pPr>
    </w:p>
    <w:p w14:paraId="345D0716" w14:textId="77777777" w:rsidR="009A22AA" w:rsidRDefault="009A22AA">
      <w:pPr>
        <w:jc w:val="center"/>
        <w:rPr>
          <w:rFonts w:ascii="Arial" w:hAnsi="Arial" w:cs="Times New Roman"/>
          <w:b/>
          <w:bCs/>
        </w:rPr>
      </w:pPr>
    </w:p>
    <w:p w14:paraId="345D0717" w14:textId="77777777" w:rsidR="009A22AA" w:rsidRDefault="005476CB">
      <w:pPr>
        <w:jc w:val="center"/>
        <w:rPr>
          <w:rFonts w:hint="eastAsia"/>
        </w:rPr>
      </w:pPr>
      <w:r>
        <w:rPr>
          <w:rFonts w:ascii="Arial" w:hAnsi="Arial" w:cs="Times New Roman"/>
          <w:i/>
          <w:iCs/>
        </w:rPr>
        <w:t>bozza</w:t>
      </w:r>
    </w:p>
    <w:p w14:paraId="345D0718" w14:textId="77777777" w:rsidR="009A22AA" w:rsidRDefault="009A22AA">
      <w:pPr>
        <w:jc w:val="center"/>
        <w:rPr>
          <w:rFonts w:ascii="Arial" w:hAnsi="Arial" w:cs="Times New Roman"/>
          <w:i/>
          <w:iCs/>
        </w:rPr>
      </w:pPr>
    </w:p>
    <w:p w14:paraId="345D0719" w14:textId="77777777" w:rsidR="009A22AA" w:rsidRDefault="009A22AA">
      <w:pPr>
        <w:jc w:val="center"/>
        <w:rPr>
          <w:rFonts w:ascii="Arial" w:hAnsi="Arial" w:cs="Times New Roman"/>
          <w:i/>
          <w:iCs/>
        </w:rPr>
      </w:pPr>
    </w:p>
    <w:p w14:paraId="345D071A" w14:textId="77777777" w:rsidR="009A22AA" w:rsidRDefault="009A22AA">
      <w:pPr>
        <w:pageBreakBefore/>
        <w:jc w:val="center"/>
        <w:rPr>
          <w:rFonts w:ascii="Arial" w:hAnsi="Arial" w:cs="Times New Roman"/>
          <w:i/>
          <w:iCs/>
        </w:rPr>
      </w:pPr>
    </w:p>
    <w:p w14:paraId="345D071B" w14:textId="77777777" w:rsidR="009A22AA" w:rsidRDefault="005476CB">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345D071C" w14:textId="77777777" w:rsidR="009A22AA" w:rsidRDefault="005476CB">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345D071D" w14:textId="77777777" w:rsidR="009A22AA" w:rsidRDefault="005476CB">
      <w:pPr>
        <w:spacing w:line="479" w:lineRule="exact"/>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La presente convenzione disciplina il conferimento all’Unione ..., per brevità chiamata Unione, da parte dei Comuni aderenti delle attività e compiti di gestione e amministrazione del personale. La gestione associata in Unione deve comprendere la gestione dei procedimenti in materia di amministrazione giuridica ed economica del personale, sviluppo, organizzazione e contenzioso del lavoro e adozione dei relativi regolamenti.</w:t>
      </w:r>
    </w:p>
    <w:p w14:paraId="345D071E"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 In particolare vengono conferite le funzioni comprendenti tutti i compiti e le attività inerenti:</w:t>
      </w:r>
    </w:p>
    <w:p w14:paraId="345D071F" w14:textId="77777777" w:rsidR="009A22AA" w:rsidRDefault="005476CB">
      <w:pPr>
        <w:pStyle w:val="Paragrafoelenco"/>
        <w:numPr>
          <w:ilvl w:val="0"/>
          <w:numId w:val="1"/>
        </w:numPr>
        <w:spacing w:line="479" w:lineRule="exact"/>
        <w:jc w:val="both"/>
        <w:rPr>
          <w:rFonts w:hint="eastAsia"/>
        </w:rPr>
      </w:pPr>
      <w:r>
        <w:rPr>
          <w:rFonts w:ascii="Arial" w:eastAsia="Times New Roman" w:hAnsi="Arial"/>
          <w:kern w:val="0"/>
          <w:lang w:eastAsia="it-IT" w:bidi="ar-SA"/>
        </w:rPr>
        <w:t>Reclutamento e organizzazione (Procedure selettive esterne ed interne; Programmazione del fabbisogno del personale; Assunzioni; Gestione spostamenti, trasferimenti, mobilità</w:t>
      </w:r>
      <w:r>
        <w:rPr>
          <w:rFonts w:ascii="Arial" w:eastAsia="Times New Roman" w:hAnsi="Arial"/>
          <w:color w:val="FF0000"/>
          <w:kern w:val="0"/>
          <w:lang w:eastAsia="it-IT" w:bidi="ar-SA"/>
        </w:rPr>
        <w:t>,</w:t>
      </w:r>
      <w:r>
        <w:rPr>
          <w:rFonts w:ascii="Arial" w:eastAsia="Times New Roman" w:hAnsi="Arial"/>
          <w:kern w:val="0"/>
          <w:lang w:eastAsia="it-IT" w:bidi="ar-SA"/>
        </w:rPr>
        <w:t xml:space="preserve"> </w:t>
      </w:r>
      <w:r>
        <w:rPr>
          <w:rFonts w:ascii="Arial" w:eastAsia="Times New Roman" w:hAnsi="Arial"/>
          <w:strike/>
          <w:kern w:val="0"/>
          <w:lang w:eastAsia="it-IT" w:bidi="ar-SA"/>
        </w:rPr>
        <w:t>e</w:t>
      </w:r>
      <w:r>
        <w:rPr>
          <w:rFonts w:ascii="Arial" w:eastAsia="Times New Roman" w:hAnsi="Arial"/>
          <w:kern w:val="0"/>
          <w:lang w:eastAsia="it-IT" w:bidi="ar-SA"/>
        </w:rPr>
        <w:t xml:space="preserve"> comandi </w:t>
      </w:r>
      <w:r w:rsidRPr="00A70F0E">
        <w:rPr>
          <w:rFonts w:ascii="Arial" w:eastAsia="Times New Roman" w:hAnsi="Arial"/>
          <w:kern w:val="0"/>
          <w:lang w:eastAsia="it-IT" w:bidi="ar-SA"/>
        </w:rPr>
        <w:t>e gestione condivisa del personale</w:t>
      </w:r>
      <w:r>
        <w:rPr>
          <w:rFonts w:ascii="Arial" w:eastAsia="Times New Roman" w:hAnsi="Arial"/>
          <w:kern w:val="0"/>
          <w:lang w:eastAsia="it-IT" w:bidi="ar-SA"/>
        </w:rPr>
        <w:t>; Studi ed interventi di riorganizzazione);</w:t>
      </w:r>
    </w:p>
    <w:p w14:paraId="345D0720" w14:textId="77777777" w:rsidR="009A22AA" w:rsidRDefault="005476CB">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345D0721" w14:textId="77777777" w:rsidR="009A22AA" w:rsidRDefault="005476CB">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Rilevazione presenze (congedi, permessi, aspettative, ecc.); Registrazione e rendicontazione delle presenze; Statistiche per rilevazione assenze;</w:t>
      </w:r>
    </w:p>
    <w:p w14:paraId="345D0722" w14:textId="77777777" w:rsidR="009A22AA" w:rsidRDefault="005476CB">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345D0723" w14:textId="77777777" w:rsidR="009A22AA" w:rsidRDefault="005476CB">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Gestione unitaria di tutti gli istituti contrattuali (circolari, modulistica unica, regolamenti interni, ecc.);</w:t>
      </w:r>
    </w:p>
    <w:p w14:paraId="345D0724" w14:textId="77777777" w:rsidR="009A22AA" w:rsidRDefault="005476CB">
      <w:pPr>
        <w:numPr>
          <w:ilvl w:val="0"/>
          <w:numId w:val="1"/>
        </w:numPr>
        <w:spacing w:line="479" w:lineRule="exact"/>
        <w:jc w:val="both"/>
        <w:rPr>
          <w:rFonts w:hint="eastAsia"/>
        </w:rPr>
      </w:pPr>
      <w:r>
        <w:rPr>
          <w:rFonts w:ascii="Arial" w:eastAsia="Times New Roman" w:hAnsi="Arial"/>
          <w:kern w:val="0"/>
          <w:lang w:eastAsia="it-IT" w:bidi="ar-SA"/>
        </w:rPr>
        <w:t xml:space="preserve">Attività del </w:t>
      </w:r>
      <w:proofErr w:type="spellStart"/>
      <w:r>
        <w:rPr>
          <w:rFonts w:ascii="Arial" w:eastAsia="Times New Roman" w:hAnsi="Arial"/>
          <w:kern w:val="0"/>
          <w:lang w:eastAsia="it-IT" w:bidi="ar-SA"/>
        </w:rPr>
        <w:t>NdV</w:t>
      </w:r>
      <w:proofErr w:type="spellEnd"/>
      <w:r>
        <w:rPr>
          <w:rFonts w:ascii="Arial" w:eastAsia="Times New Roman" w:hAnsi="Arial"/>
          <w:kern w:val="0"/>
          <w:lang w:eastAsia="it-IT" w:bidi="ar-SA"/>
        </w:rPr>
        <w:t xml:space="preserve"> o OIV per l'Unione e i Comuni aderenti;</w:t>
      </w:r>
    </w:p>
    <w:p w14:paraId="345D0725" w14:textId="77777777" w:rsidR="009A22AA" w:rsidRPr="00A70F0E" w:rsidRDefault="005476CB">
      <w:pPr>
        <w:numPr>
          <w:ilvl w:val="0"/>
          <w:numId w:val="1"/>
        </w:numPr>
        <w:spacing w:line="479" w:lineRule="exact"/>
        <w:jc w:val="both"/>
        <w:rPr>
          <w:rFonts w:ascii="Arial" w:eastAsia="Times New Roman" w:hAnsi="Arial"/>
          <w:kern w:val="0"/>
          <w:lang w:eastAsia="it-IT" w:bidi="ar-SA"/>
        </w:rPr>
      </w:pPr>
      <w:r w:rsidRPr="00A70F0E">
        <w:rPr>
          <w:rFonts w:ascii="Arial" w:eastAsia="Times New Roman" w:hAnsi="Arial"/>
          <w:kern w:val="0"/>
          <w:lang w:eastAsia="it-IT" w:bidi="ar-SA"/>
        </w:rPr>
        <w:t>Attività legate alla formazione.</w:t>
      </w:r>
    </w:p>
    <w:p w14:paraId="345D0726" w14:textId="77777777" w:rsidR="009A22AA" w:rsidRPr="00A70F0E" w:rsidRDefault="009A22AA">
      <w:pPr>
        <w:rPr>
          <w:rFonts w:hint="eastAsia"/>
        </w:rPr>
      </w:pPr>
    </w:p>
    <w:p w14:paraId="345D0727" w14:textId="77777777" w:rsidR="009A22AA" w:rsidRPr="00A70F0E" w:rsidRDefault="009A22AA">
      <w:pPr>
        <w:rPr>
          <w:rFonts w:hint="eastAsia"/>
        </w:rPr>
      </w:pPr>
    </w:p>
    <w:p w14:paraId="4C282F4D" w14:textId="77777777" w:rsidR="00A70F0E" w:rsidRDefault="00A70F0E">
      <w:pPr>
        <w:spacing w:line="479" w:lineRule="exact"/>
        <w:ind w:left="720"/>
        <w:jc w:val="both"/>
        <w:rPr>
          <w:rFonts w:hint="eastAsia"/>
        </w:rPr>
      </w:pPr>
    </w:p>
    <w:p w14:paraId="345D072A" w14:textId="77777777" w:rsidR="009A22AA" w:rsidRDefault="005476CB">
      <w:pPr>
        <w:spacing w:line="479" w:lineRule="exact"/>
        <w:jc w:val="both"/>
        <w:rPr>
          <w:rFonts w:hint="eastAsia"/>
        </w:rPr>
      </w:pPr>
      <w:r>
        <w:rPr>
          <w:rFonts w:ascii="Arial" w:eastAsia="Times New Roman" w:hAnsi="Arial"/>
          <w:kern w:val="0"/>
          <w:lang w:eastAsia="it-IT" w:bidi="ar-SA"/>
        </w:rPr>
        <w:lastRenderedPageBreak/>
        <w:t xml:space="preserve">3. È costituito in capo all'Unione la Struttura Organizzativa Personale e ad essa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w:t>
      </w:r>
    </w:p>
    <w:p w14:paraId="345D072B"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4. Le funzioni, le attività e i compiti sopra menzionati sono svolti unitariamente dalla struttura unificata secondo la ripartizione interna di funzioni, attività e competenze che sarà definita a livello organizzativo fra l'Unione e gli enti aderenti.</w:t>
      </w:r>
    </w:p>
    <w:p w14:paraId="345D072C"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5.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345D072D"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6. La gestione unificata del Personale ha come obiettivo anche quello di facilitare:</w:t>
      </w:r>
    </w:p>
    <w:p w14:paraId="345D072E"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gestione coordinata e coerente dei diversi istituti contrattuali</w:t>
      </w:r>
    </w:p>
    <w:p w14:paraId="345D072F"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gestione coordinata delle problematiche organizzative e normative che possono considerarsi rilevanti per il territorio di riferimento dell'Unione;</w:t>
      </w:r>
    </w:p>
    <w:p w14:paraId="345D0730"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gestione coordinata e omogenea delle problematiche tecniche ed interpretative;</w:t>
      </w:r>
    </w:p>
    <w:p w14:paraId="345D0731"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maggiore professionalità e specializzazione delle attività;</w:t>
      </w:r>
    </w:p>
    <w:p w14:paraId="345D0732"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maggiore flessibilità e fungibilità nella gestione del personale.</w:t>
      </w:r>
    </w:p>
    <w:p w14:paraId="345D0733"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 La gestione unificata deve garantire il presidio dei bilanci e delle problematiche contabili ed il rispetto dei vincoli di finanza pubblica gravanti sull'Unione e sui singoli enti conferenti.</w:t>
      </w:r>
    </w:p>
    <w:p w14:paraId="345D0734"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8. L’ambito territoriale della presente convenzione è individuato nel territorio dei Comuni aderenti all’Unione.</w:t>
      </w:r>
    </w:p>
    <w:p w14:paraId="345D0735"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9.L’ambito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345D0736" w14:textId="77777777" w:rsidR="009A22AA" w:rsidRDefault="005476CB">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10.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345D0738" w14:textId="77777777" w:rsidR="009A22AA" w:rsidRDefault="009A22AA">
      <w:pPr>
        <w:rPr>
          <w:rFonts w:hint="eastAsia"/>
        </w:rPr>
      </w:pPr>
    </w:p>
    <w:p w14:paraId="345D0739" w14:textId="77777777" w:rsidR="009A22AA" w:rsidRDefault="009A22AA">
      <w:pPr>
        <w:rPr>
          <w:rFonts w:hint="eastAsia"/>
        </w:rPr>
      </w:pPr>
    </w:p>
    <w:p w14:paraId="345D073A" w14:textId="77777777" w:rsidR="009A22AA" w:rsidRDefault="005476CB" w:rsidP="00A70F0E">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2</w:t>
      </w:r>
    </w:p>
    <w:p w14:paraId="345D073B" w14:textId="77777777" w:rsidR="009A22AA" w:rsidRDefault="005476CB">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345D073C" w14:textId="77777777" w:rsidR="009A22AA" w:rsidRDefault="005476CB">
      <w:pPr>
        <w:autoSpaceDE w:val="0"/>
        <w:spacing w:line="479" w:lineRule="exact"/>
        <w:jc w:val="both"/>
        <w:rPr>
          <w:rFonts w:hint="eastAsia"/>
        </w:rPr>
      </w:pPr>
      <w:r>
        <w:rPr>
          <w:rFonts w:ascii="Arial" w:eastAsia="Times New Roman" w:hAnsi="Arial"/>
          <w:kern w:val="0"/>
          <w:lang w:eastAsia="it-IT" w:bidi="ar-SA"/>
        </w:rPr>
        <w:t>1. Il conferimento all’Unione delle funzioni e dei compiti di cui all’art. 1 della presente convenzione avviene con decorrenza 1° gennaio 20</w:t>
      </w:r>
      <w:r w:rsidRPr="00BC4854">
        <w:rPr>
          <w:rFonts w:ascii="Arial" w:eastAsia="Times New Roman" w:hAnsi="Arial"/>
          <w:kern w:val="0"/>
          <w:lang w:eastAsia="it-IT" w:bidi="ar-SA"/>
        </w:rPr>
        <w:t>....</w:t>
      </w:r>
    </w:p>
    <w:p w14:paraId="345D073D"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345D073E"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345D073F"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altresì in capo agli organi di governo dei singoli Comuni le competenze a carattere generale o trasversale, qualora non pienamente riconducibili agli ambiti funzionali conferiti.</w:t>
      </w:r>
    </w:p>
    <w:p w14:paraId="345D0740"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realizza e rende operativa la struttura organizzativa prevista dal comma 2, avvalendosi del personale indicato al seguente art. 3 della presente convenzione.</w:t>
      </w:r>
    </w:p>
    <w:p w14:paraId="345D0741" w14:textId="77777777" w:rsidR="009A22AA" w:rsidRDefault="005476CB">
      <w:pPr>
        <w:spacing w:line="479" w:lineRule="exact"/>
        <w:jc w:val="both"/>
        <w:rPr>
          <w:rFonts w:hint="eastAsia"/>
        </w:rPr>
      </w:pPr>
      <w:r>
        <w:rPr>
          <w:rFonts w:ascii="Arial" w:eastAsia="Times New Roman" w:hAnsi="Arial"/>
          <w:kern w:val="0"/>
          <w:lang w:eastAsia="it-IT" w:bidi="ar-SA"/>
        </w:rPr>
        <w:t xml:space="preserve">6. La struttura organizzativa Personale dell'Unione, quale struttura organizzativa incardinata all’interno dell’organigramma dell’Unione, almeno nella fase iniziale, può essere articolata in servizi di presidio territoriale presso i singoli Comuni, al fine di assicurare un adeguato presidio delle attività, un miglior rapporto con l'ente di appartenenza ed una adeguata circolazione delle informazioni. </w:t>
      </w:r>
    </w:p>
    <w:p w14:paraId="345D0742"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L’Unione utilizza risorse economiche proprie, conferite da altri Enti, e quelle attribuite o ad essa assegnate dai Comuni conferenti, secondo quanto previsto ed indicato all’art. 6 della presente convenzione.</w:t>
      </w:r>
    </w:p>
    <w:p w14:paraId="345D0743"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8. L’Unione utilizza sedi, strutture, beni strumentali e attrezzature proprie, di terzi e/o concesse in uso dai Comuni conferenti, secondo quanto previsto ed indicato al seguente art. 8 della presente convenzione.</w:t>
      </w:r>
    </w:p>
    <w:p w14:paraId="345D0744"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9.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345D0745"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10.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345D0746"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11.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345D0747" w14:textId="77777777" w:rsidR="009A22AA" w:rsidRDefault="009A22AA">
      <w:pPr>
        <w:autoSpaceDE w:val="0"/>
        <w:spacing w:line="479" w:lineRule="exact"/>
        <w:jc w:val="center"/>
        <w:outlineLvl w:val="0"/>
        <w:rPr>
          <w:rFonts w:ascii="Arial" w:eastAsia="Times New Roman" w:hAnsi="Arial"/>
          <w:b/>
          <w:bCs/>
          <w:kern w:val="0"/>
          <w:lang w:eastAsia="it-IT" w:bidi="ar-SA"/>
        </w:rPr>
      </w:pPr>
    </w:p>
    <w:p w14:paraId="345D0748"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345D0749"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345D074A" w14:textId="77777777" w:rsidR="009A22AA" w:rsidRDefault="005476CB">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345D074B"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345D074C" w14:textId="77777777" w:rsidR="009A22AA" w:rsidRDefault="005476CB">
      <w:pPr>
        <w:autoSpaceDE w:val="0"/>
        <w:spacing w:line="479" w:lineRule="exact"/>
        <w:jc w:val="both"/>
        <w:rPr>
          <w:rFonts w:hint="eastAsia"/>
        </w:rPr>
      </w:pPr>
      <w:r>
        <w:rPr>
          <w:rFonts w:ascii="Arial" w:eastAsia="Times New Roman" w:hAnsi="Arial"/>
          <w:kern w:val="0"/>
          <w:lang w:eastAsia="it-IT" w:bidi="ar-SA"/>
        </w:rPr>
        <w:t xml:space="preserve">3. L’Unione subentra ai Comuni conferenti, dalla data di cui al precedente art. 2, comma 1, nei rapporti derivanti dai contratti di lavoro autonomo che questi hanno stipulato con persone </w:t>
      </w:r>
      <w:r>
        <w:rPr>
          <w:rFonts w:ascii="Arial" w:eastAsia="Times New Roman" w:hAnsi="Arial"/>
          <w:kern w:val="0"/>
          <w:lang w:eastAsia="it-IT" w:bidi="ar-SA"/>
        </w:rPr>
        <w:lastRenderedPageBreak/>
        <w:t>per l’esercizio di competenze, funzioni e attività inerenti alle materie conferite ai sensi dell’art. 1. Sono fatti salvi i rapporti di ciascun ente con il proprio Organo di Revisione per le particolari caratteristiche di nomina e di funzioni svolte dal medesimo. Per quanto riguarda l'Organismo indipendente di valutazione (</w:t>
      </w:r>
      <w:proofErr w:type="spellStart"/>
      <w:r>
        <w:rPr>
          <w:rFonts w:ascii="Arial" w:eastAsia="Times New Roman" w:hAnsi="Arial"/>
          <w:kern w:val="0"/>
          <w:lang w:eastAsia="it-IT" w:bidi="ar-SA"/>
        </w:rPr>
        <w:t>Oiv</w:t>
      </w:r>
      <w:proofErr w:type="spellEnd"/>
      <w:r>
        <w:rPr>
          <w:rFonts w:ascii="Arial" w:eastAsia="Times New Roman" w:hAnsi="Arial"/>
          <w:kern w:val="0"/>
          <w:lang w:eastAsia="it-IT" w:bidi="ar-SA"/>
        </w:rPr>
        <w:t xml:space="preserve">) </w:t>
      </w:r>
      <w:r w:rsidRPr="00B27CE5">
        <w:rPr>
          <w:rFonts w:ascii="Arial" w:eastAsia="Times New Roman" w:hAnsi="Arial"/>
          <w:kern w:val="0"/>
          <w:lang w:eastAsia="it-IT" w:bidi="ar-SA"/>
        </w:rPr>
        <w:t xml:space="preserve">unico </w:t>
      </w:r>
      <w:r>
        <w:rPr>
          <w:rFonts w:ascii="Arial" w:eastAsia="Times New Roman" w:hAnsi="Arial"/>
          <w:kern w:val="0"/>
          <w:lang w:eastAsia="it-IT" w:bidi="ar-SA"/>
        </w:rPr>
        <w:t>dal 1° gennaio 20</w:t>
      </w:r>
      <w:r w:rsidRPr="00BC4854">
        <w:rPr>
          <w:rFonts w:ascii="Arial" w:eastAsia="Times New Roman" w:hAnsi="Arial"/>
          <w:kern w:val="0"/>
          <w:lang w:eastAsia="it-IT" w:bidi="ar-SA"/>
        </w:rPr>
        <w:t xml:space="preserve">... </w:t>
      </w:r>
      <w:r>
        <w:rPr>
          <w:rFonts w:ascii="Arial" w:eastAsia="Times New Roman" w:hAnsi="Arial"/>
          <w:kern w:val="0"/>
          <w:lang w:eastAsia="it-IT" w:bidi="ar-SA"/>
        </w:rPr>
        <w:t>esso viene nominato direttamente dall'Unione per esercitare le sue funzioni nei confronti dell'Unione e di tutti gli enti aderenti all'Unione medesima.</w:t>
      </w:r>
    </w:p>
    <w:p w14:paraId="345D074D"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345D074E"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345D074F" w14:textId="77777777" w:rsidR="009A22AA" w:rsidRDefault="005476CB">
      <w:pPr>
        <w:autoSpaceDE w:val="0"/>
        <w:spacing w:line="479" w:lineRule="exact"/>
        <w:jc w:val="both"/>
        <w:rPr>
          <w:rFonts w:hint="eastAsi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struttura organizzativa Personale dell'Unione, articolato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345D0751" w14:textId="77777777" w:rsidR="009A22AA" w:rsidRDefault="009A22AA" w:rsidP="00290183">
      <w:pPr>
        <w:autoSpaceDE w:val="0"/>
        <w:spacing w:line="479" w:lineRule="exact"/>
        <w:outlineLvl w:val="0"/>
        <w:rPr>
          <w:rFonts w:ascii="Arial" w:eastAsia="Times New Roman" w:hAnsi="Arial"/>
          <w:b/>
          <w:bCs/>
          <w:kern w:val="0"/>
          <w:lang w:eastAsia="it-IT" w:bidi="ar-SA"/>
        </w:rPr>
      </w:pPr>
    </w:p>
    <w:p w14:paraId="57DBCD74" w14:textId="77777777" w:rsidR="00ED1D2E" w:rsidRDefault="00ED1D2E">
      <w:pPr>
        <w:autoSpaceDE w:val="0"/>
        <w:spacing w:line="479" w:lineRule="exact"/>
        <w:jc w:val="center"/>
        <w:outlineLvl w:val="0"/>
        <w:rPr>
          <w:rFonts w:ascii="Arial" w:eastAsia="Times New Roman" w:hAnsi="Arial"/>
          <w:b/>
          <w:bCs/>
          <w:kern w:val="0"/>
          <w:lang w:eastAsia="it-IT" w:bidi="ar-SA"/>
        </w:rPr>
      </w:pPr>
    </w:p>
    <w:p w14:paraId="345D0752" w14:textId="0891AE63"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345D0753" w14:textId="77777777" w:rsidR="009A22AA" w:rsidRDefault="005476CB">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345D0754" w14:textId="77777777" w:rsidR="009A22AA" w:rsidRDefault="005476CB">
      <w:pPr>
        <w:spacing w:line="479" w:lineRule="exact"/>
        <w:jc w:val="both"/>
        <w:rPr>
          <w:rFonts w:hint="eastAsia"/>
        </w:rPr>
      </w:pPr>
      <w:r>
        <w:rPr>
          <w:rFonts w:ascii="Arial" w:eastAsia="Times New Roman" w:hAnsi="Arial"/>
          <w:kern w:val="0"/>
          <w:lang w:eastAsia="it-IT" w:bidi="ar-SA"/>
        </w:rPr>
        <w:t xml:space="preserve">1. La direzione ed il coordinamento tecnico della struttura organizzativa dell'Unione spetta al Responsabile unico della Struttura che viene nominato secondo modalità conformi alla </w:t>
      </w:r>
      <w:r>
        <w:rPr>
          <w:rFonts w:ascii="Arial" w:eastAsia="Times New Roman" w:hAnsi="Arial"/>
          <w:kern w:val="0"/>
          <w:lang w:eastAsia="it-IT" w:bidi="ar-SA"/>
        </w:rPr>
        <w:lastRenderedPageBreak/>
        <w:t>legge, allo Statuto e al regolamento di organizzazione. Egli gestisce tutte le risorse umane, finanziarie e strumentali assegnate per l’esercizio della funzione conferita, compresi gli uffici decentrati e/o gli sportelli territoriali eventualmente costituiti.</w:t>
      </w:r>
    </w:p>
    <w:p w14:paraId="345D0755" w14:textId="77777777" w:rsidR="009A22AA" w:rsidRDefault="005476CB">
      <w:pPr>
        <w:spacing w:line="479" w:lineRule="exact"/>
        <w:jc w:val="both"/>
        <w:rPr>
          <w:rFonts w:hint="eastAsia"/>
        </w:rPr>
      </w:pPr>
      <w:r>
        <w:rPr>
          <w:rFonts w:ascii="Arial" w:eastAsia="Times New Roman" w:hAnsi="Arial"/>
          <w:kern w:val="0"/>
          <w:lang w:eastAsia="it-IT" w:bidi="ar-SA"/>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alle unità operative. </w:t>
      </w:r>
    </w:p>
    <w:p w14:paraId="345D0756"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 responsabili delle unità operative assicurano il collegamento con la struttura organizzativa e il rapporto con l'ente di riferimento di cui costituiscono il referente per le materie oggetto del presente conferimento.</w:t>
      </w:r>
    </w:p>
    <w:p w14:paraId="5AD2A53B" w14:textId="77777777" w:rsidR="00290183" w:rsidRDefault="00290183">
      <w:pPr>
        <w:spacing w:line="479" w:lineRule="exact"/>
        <w:jc w:val="both"/>
        <w:rPr>
          <w:rFonts w:hint="eastAsia"/>
        </w:rPr>
      </w:pPr>
    </w:p>
    <w:p w14:paraId="345D0757" w14:textId="77777777" w:rsidR="009A22AA" w:rsidRDefault="005476CB" w:rsidP="00B27CE5">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5</w:t>
      </w:r>
    </w:p>
    <w:p w14:paraId="345D0758" w14:textId="77777777" w:rsidR="009A22AA" w:rsidRDefault="005476CB">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345D0759"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345D075A"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 Competente per la soluzione delle problematiche generali inerenti all’attività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345D075B"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L’Unione s’impegna a trasmettere agli enti aderenti copia degli atti fondamentali assunti dal Consiglio dell’Unione relativi all’espletamento della funzione conferita.</w:t>
      </w:r>
    </w:p>
    <w:p w14:paraId="1B86C5AB" w14:textId="77777777" w:rsidR="00290183" w:rsidRDefault="00290183">
      <w:pPr>
        <w:spacing w:line="479" w:lineRule="exact"/>
        <w:jc w:val="both"/>
        <w:rPr>
          <w:rFonts w:ascii="Arial" w:eastAsia="Times New Roman" w:hAnsi="Arial"/>
          <w:kern w:val="0"/>
          <w:lang w:eastAsia="it-IT" w:bidi="ar-SA"/>
        </w:rPr>
      </w:pPr>
    </w:p>
    <w:p w14:paraId="345D075C"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345D075D"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345D075E" w14:textId="77777777" w:rsidR="009A22AA" w:rsidRDefault="005476CB">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345D075F" w14:textId="77777777" w:rsidR="009A22AA" w:rsidRDefault="005476CB">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w:t>
      </w:r>
      <w:r>
        <w:rPr>
          <w:rFonts w:ascii="Arial" w:eastAsia="Times New Roman" w:hAnsi="Arial"/>
          <w:lang w:eastAsia="ar-SA" w:bidi="ar-SA"/>
        </w:rPr>
        <w:lastRenderedPageBreak/>
        <w:t>all’esercizio delle funzioni e allo svolgimento delle attività inerenti le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345D0760" w14:textId="77777777" w:rsidR="009A22AA" w:rsidRDefault="005476CB">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345D0761" w14:textId="77777777" w:rsidR="009A22AA" w:rsidRDefault="005476CB">
      <w:pPr>
        <w:spacing w:line="479" w:lineRule="exact"/>
        <w:jc w:val="both"/>
        <w:rPr>
          <w:rFonts w:ascii="Arial" w:eastAsia="Times New Roman" w:hAnsi="Arial"/>
          <w:lang w:eastAsia="ar-SA" w:bidi="ar-SA"/>
        </w:rPr>
      </w:pPr>
      <w:r>
        <w:rPr>
          <w:rFonts w:ascii="Arial" w:eastAsia="Times New Roman" w:hAnsi="Arial"/>
          <w:lang w:eastAsia="ar-SA" w:bidi="ar-SA"/>
        </w:rPr>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345D0762" w14:textId="77777777" w:rsidR="009A22AA" w:rsidRDefault="005476CB">
      <w:pPr>
        <w:widowControl w:val="0"/>
        <w:autoSpaceDE w:val="0"/>
        <w:spacing w:line="479" w:lineRule="exact"/>
        <w:jc w:val="both"/>
        <w:rPr>
          <w:rFonts w:hint="eastAsia"/>
        </w:rPr>
      </w:pPr>
      <w:r>
        <w:rPr>
          <w:rFonts w:ascii="Arial" w:eastAsia="Times New Roman" w:hAnsi="Arial"/>
          <w:lang w:eastAsia="ar-SA" w:bidi="ar-SA"/>
        </w:rPr>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345D0763" w14:textId="77777777" w:rsidR="009A22AA" w:rsidRDefault="005476CB">
      <w:pPr>
        <w:widowControl w:val="0"/>
        <w:spacing w:line="479" w:lineRule="exact"/>
        <w:jc w:val="both"/>
        <w:rPr>
          <w:rFonts w:ascii="Arial" w:eastAsia="Times New Roman" w:hAnsi="Arial"/>
          <w:lang w:eastAsia="ar-SA" w:bidi="ar-SA"/>
        </w:rPr>
      </w:pPr>
      <w:r>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345D0764" w14:textId="77777777" w:rsidR="009A22AA" w:rsidRDefault="005476CB">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7.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w:t>
      </w:r>
      <w:r>
        <w:rPr>
          <w:rFonts w:ascii="Arial" w:eastAsia="Times New Roman" w:hAnsi="Arial"/>
          <w:lang w:eastAsia="ar-SA" w:bidi="ar-SA"/>
        </w:rPr>
        <w:lastRenderedPageBreak/>
        <w:t>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42D3EE87" w14:textId="229B3C0F" w:rsidR="00290183" w:rsidRPr="00821C40" w:rsidRDefault="005476CB">
      <w:pPr>
        <w:widowControl w:val="0"/>
        <w:spacing w:line="479" w:lineRule="exact"/>
        <w:jc w:val="both"/>
        <w:rPr>
          <w:rFonts w:ascii="Arial" w:eastAsia="Times New Roman" w:hAnsi="Arial"/>
          <w:lang w:eastAsia="ar-SA" w:bidi="ar-SA"/>
        </w:rPr>
      </w:pPr>
      <w:r>
        <w:rPr>
          <w:rFonts w:ascii="Arial" w:eastAsia="Times New Roman" w:hAnsi="Arial"/>
          <w:lang w:eastAsia="ar-SA" w:bidi="ar-SA"/>
        </w:rPr>
        <w:t>8.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345D0766"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345D0767" w14:textId="22436681" w:rsidR="009A22AA" w:rsidRDefault="005476CB" w:rsidP="00B27CE5">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SEDE</w:t>
      </w:r>
    </w:p>
    <w:p w14:paraId="345D0768" w14:textId="77777777" w:rsidR="009A22AA" w:rsidRDefault="005476CB">
      <w:pPr>
        <w:widowControl w:val="0"/>
        <w:numPr>
          <w:ilvl w:val="0"/>
          <w:numId w:val="2"/>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1. La sede della struttura organizzativa associata del Personale dell'Unione è stabilita a ..., in Piazza .... Sono sedi della citata struttura dell'Unione gli uffici dei servizi di presidio territoriale, collocati presso le attuali sedi dei Comuni conferenti.</w:t>
      </w:r>
    </w:p>
    <w:p w14:paraId="345D0769" w14:textId="77777777" w:rsidR="009A22AA" w:rsidRDefault="005476CB">
      <w:pPr>
        <w:widowControl w:val="0"/>
        <w:numPr>
          <w:ilvl w:val="0"/>
          <w:numId w:val="2"/>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345D076A" w14:textId="77777777" w:rsidR="009A22AA" w:rsidRDefault="005476CB">
      <w:pPr>
        <w:widowControl w:val="0"/>
        <w:numPr>
          <w:ilvl w:val="0"/>
          <w:numId w:val="2"/>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33E06E73" w14:textId="77777777" w:rsidR="00821C40" w:rsidRDefault="00821C40" w:rsidP="00B27CE5">
      <w:pPr>
        <w:autoSpaceDE w:val="0"/>
        <w:spacing w:line="479" w:lineRule="exact"/>
        <w:outlineLvl w:val="0"/>
        <w:rPr>
          <w:rFonts w:ascii="Arial" w:eastAsia="Times New Roman" w:hAnsi="Arial"/>
          <w:b/>
          <w:bCs/>
          <w:kern w:val="0"/>
          <w:lang w:eastAsia="it-IT" w:bidi="ar-SA"/>
        </w:rPr>
      </w:pPr>
    </w:p>
    <w:p w14:paraId="345D076B" w14:textId="385BC6A5"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345D076C"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345D076D"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345D076E"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345D076F"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in comodato d’uso gratuito, i beni mobili, gli arredi, le attrezzature, le apparecchiature tecniche, le strumentazioni ed ogni altro mezzo necessario che i Comuni conferenti hanno destinato all’esercizio delle materie conferite.</w:t>
      </w:r>
    </w:p>
    <w:p w14:paraId="345D0770"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345D0771"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345D0772"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345D0773"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345D0774" w14:textId="77777777" w:rsidR="009A22AA" w:rsidRDefault="005476CB">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w:t>
      </w:r>
      <w:r>
        <w:rPr>
          <w:rFonts w:ascii="Arial" w:eastAsia="Times New Roman" w:hAnsi="Arial"/>
          <w:kern w:val="0"/>
          <w:lang w:eastAsia="it-IT" w:bidi="ar-SA"/>
        </w:rPr>
        <w:lastRenderedPageBreak/>
        <w:t>qui definite, beni immobili o mobili di proprietà o locati dai singoli Comuni costituenti l’Unione, ovvero tra alcuni di questi.</w:t>
      </w:r>
    </w:p>
    <w:p w14:paraId="345D0775"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2AE52C14" w14:textId="77777777" w:rsidR="00290183" w:rsidRDefault="00290183">
      <w:pPr>
        <w:autoSpaceDE w:val="0"/>
        <w:spacing w:line="479" w:lineRule="exact"/>
        <w:jc w:val="both"/>
        <w:rPr>
          <w:rFonts w:ascii="Arial" w:eastAsia="Times New Roman" w:hAnsi="Arial"/>
          <w:kern w:val="0"/>
          <w:lang w:eastAsia="it-IT" w:bidi="ar-SA"/>
        </w:rPr>
      </w:pPr>
    </w:p>
    <w:p w14:paraId="345D0776" w14:textId="77777777" w:rsidR="009A22AA" w:rsidRDefault="005476CB" w:rsidP="00B27CE5">
      <w:pPr>
        <w:widowControl w:val="0"/>
        <w:spacing w:line="479" w:lineRule="exact"/>
        <w:ind w:left="360"/>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9</w:t>
      </w:r>
    </w:p>
    <w:p w14:paraId="345D0777" w14:textId="77777777" w:rsidR="009A22AA" w:rsidRDefault="005476CB">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345D0778"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345D0779" w14:textId="77777777" w:rsidR="009A22AA" w:rsidRDefault="005476CB">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5476CB">
        <w:rPr>
          <w:rFonts w:ascii="Arial" w:eastAsia="Times New Roman" w:hAnsi="Arial"/>
          <w:kern w:val="0"/>
          <w:lang w:eastAsia="it-IT" w:bidi="ar-SA"/>
        </w:rPr>
        <w:t>almeno</w:t>
      </w:r>
      <w:r>
        <w:rPr>
          <w:rFonts w:ascii="Arial" w:eastAsia="Times New Roman" w:hAnsi="Arial"/>
          <w:kern w:val="0"/>
          <w:lang w:eastAsia="it-IT" w:bidi="ar-SA"/>
        </w:rPr>
        <w:t xml:space="preserve"> sei (6) mesi prima della scadenza dell’anno solare (salvo diversa disposizione statutaria). Gli effetti del recesso decorrono dall’inizio dell’anno solare successivo alla comunicazione al Presidente dell’Unione ... della deliberazione consigliare adottata.</w:t>
      </w:r>
    </w:p>
    <w:p w14:paraId="345D077A" w14:textId="008C35C3" w:rsidR="009A22AA" w:rsidRPr="005476CB" w:rsidRDefault="005476CB">
      <w:pPr>
        <w:autoSpaceDE w:val="0"/>
        <w:spacing w:line="479" w:lineRule="exact"/>
        <w:jc w:val="both"/>
        <w:rPr>
          <w:rFonts w:ascii="Arial" w:eastAsia="Times New Roman" w:hAnsi="Arial"/>
          <w:kern w:val="0"/>
          <w:lang w:eastAsia="it-IT" w:bidi="ar-SA"/>
        </w:rPr>
      </w:pPr>
      <w:r w:rsidRPr="005476CB">
        <w:rPr>
          <w:rFonts w:ascii="Arial" w:eastAsia="Times New Roman" w:hAnsi="Arial"/>
          <w:kern w:val="0"/>
          <w:lang w:eastAsia="it-IT" w:bidi="ar-SA"/>
        </w:rPr>
        <w:t xml:space="preserve">3. Eventuali modifiche </w:t>
      </w:r>
      <w:r w:rsidR="008349A1" w:rsidRPr="00B27CE5">
        <w:rPr>
          <w:rFonts w:ascii="Arial" w:eastAsia="Times New Roman" w:hAnsi="Arial"/>
          <w:kern w:val="0"/>
          <w:lang w:eastAsia="it-IT" w:bidi="ar-SA"/>
        </w:rPr>
        <w:t xml:space="preserve">sostanziali </w:t>
      </w:r>
      <w:r w:rsidRPr="005476CB">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345D077B"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345D077C" w14:textId="77777777" w:rsidR="009A22AA" w:rsidRDefault="005476CB">
      <w:pPr>
        <w:autoSpaceDE w:val="0"/>
        <w:spacing w:line="479" w:lineRule="exact"/>
        <w:jc w:val="both"/>
        <w:rPr>
          <w:rFonts w:hint="eastAsia"/>
        </w:rPr>
      </w:pPr>
      <w:r>
        <w:rPr>
          <w:rFonts w:ascii="Arial" w:eastAsia="Times New Roman" w:hAnsi="Arial"/>
          <w:kern w:val="0"/>
          <w:lang w:eastAsia="it-IT" w:bidi="ar-SA"/>
        </w:rPr>
        <w:lastRenderedPageBreak/>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345D077D"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a) la quota parte di personale impegnato in attività attinenti le materie oggetto della retrocessione, non direttamente imputabili al territorio del Comune recedente; b)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345D077F" w14:textId="43E33031" w:rsidR="009A22AA" w:rsidRDefault="005476CB">
      <w:pPr>
        <w:autoSpaceDE w:val="0"/>
        <w:spacing w:line="479" w:lineRule="exact"/>
        <w:jc w:val="both"/>
        <w:rPr>
          <w:rFonts w:ascii="Arial" w:hAnsi="Arial" w:cs="Times New Roman"/>
        </w:rPr>
      </w:pPr>
      <w:r>
        <w:rPr>
          <w:rFonts w:ascii="Arial" w:eastAsia="Times New Roman" w:hAnsi="Arial"/>
          <w:kern w:val="0"/>
          <w:lang w:eastAsia="it-IT" w:bidi="ar-SA"/>
        </w:rPr>
        <w:t xml:space="preserve">7. </w:t>
      </w:r>
      <w:r>
        <w:rPr>
          <w:rFonts w:ascii="Arial" w:hAnsi="Arial" w:cs="Times New Roman"/>
        </w:rPr>
        <w:t>In caso di scioglimento dell’Unione si applica quanto stabilito dalla legge e dallo Statuto.</w:t>
      </w:r>
    </w:p>
    <w:p w14:paraId="4A2CF4ED" w14:textId="77777777" w:rsidR="00B27CE5" w:rsidRPr="00821C40" w:rsidRDefault="00B27CE5">
      <w:pPr>
        <w:autoSpaceDE w:val="0"/>
        <w:spacing w:line="479" w:lineRule="exact"/>
        <w:jc w:val="both"/>
        <w:rPr>
          <w:rFonts w:hint="eastAsia"/>
        </w:rPr>
      </w:pPr>
    </w:p>
    <w:p w14:paraId="345D0780" w14:textId="77777777" w:rsidR="009A22AA" w:rsidRDefault="005476CB">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345D0781" w14:textId="77777777" w:rsidR="009A22AA" w:rsidRDefault="005476CB">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345D0782"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7DBF121E" w14:textId="2B2739D4" w:rsidR="00290183"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7189090E" w14:textId="77777777" w:rsidR="00B27CE5" w:rsidRDefault="00B27CE5">
      <w:pPr>
        <w:autoSpaceDE w:val="0"/>
        <w:spacing w:line="479" w:lineRule="exact"/>
        <w:jc w:val="both"/>
        <w:rPr>
          <w:rFonts w:ascii="Arial" w:eastAsia="Times New Roman" w:hAnsi="Arial"/>
          <w:kern w:val="0"/>
          <w:lang w:eastAsia="it-IT" w:bidi="ar-SA"/>
        </w:rPr>
      </w:pPr>
    </w:p>
    <w:p w14:paraId="3F5B5B80" w14:textId="77777777" w:rsidR="00B27CE5" w:rsidRDefault="00B27CE5">
      <w:pPr>
        <w:autoSpaceDE w:val="0"/>
        <w:spacing w:line="479" w:lineRule="exact"/>
        <w:jc w:val="both"/>
        <w:rPr>
          <w:rFonts w:ascii="Arial" w:eastAsia="Times New Roman" w:hAnsi="Arial"/>
          <w:kern w:val="0"/>
          <w:lang w:eastAsia="it-IT" w:bidi="ar-SA"/>
        </w:rPr>
      </w:pPr>
    </w:p>
    <w:p w14:paraId="345D0784"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11</w:t>
      </w:r>
    </w:p>
    <w:p w14:paraId="345D0785"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345D0786"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42589EFC" w14:textId="4BE0AFBD" w:rsidR="00290183" w:rsidRDefault="005476CB">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345D0788" w14:textId="77777777" w:rsidR="009A22AA" w:rsidRDefault="005476CB">
      <w:pPr>
        <w:autoSpaceDE w:val="0"/>
        <w:spacing w:line="479" w:lineRule="exact"/>
        <w:jc w:val="center"/>
        <w:outlineLvl w:val="0"/>
        <w:rPr>
          <w:rFonts w:hint="eastAsia"/>
        </w:rPr>
      </w:pPr>
      <w:r>
        <w:rPr>
          <w:rFonts w:ascii="Arial" w:eastAsia="Times New Roman" w:hAnsi="Arial"/>
          <w:b/>
          <w:bCs/>
          <w:kern w:val="0"/>
          <w:lang w:eastAsia="it-IT" w:bidi="ar-SA"/>
        </w:rPr>
        <w:t>ART. 12</w:t>
      </w:r>
    </w:p>
    <w:p w14:paraId="345D0789" w14:textId="77777777" w:rsidR="009A22AA" w:rsidRDefault="005476CB">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345D078A" w14:textId="77777777" w:rsidR="009A22AA" w:rsidRDefault="005476CB">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63C4F8A1" w14:textId="77777777" w:rsidR="00290183" w:rsidRDefault="00290183">
      <w:pPr>
        <w:autoSpaceDE w:val="0"/>
        <w:spacing w:line="479" w:lineRule="exact"/>
        <w:jc w:val="both"/>
        <w:rPr>
          <w:rFonts w:ascii="Arial" w:eastAsia="Times New Roman" w:hAnsi="Arial"/>
          <w:kern w:val="0"/>
          <w:lang w:eastAsia="it-IT" w:bidi="ar-SA"/>
        </w:rPr>
      </w:pPr>
    </w:p>
    <w:p w14:paraId="345D078B" w14:textId="77777777" w:rsidR="009A22AA" w:rsidRDefault="005476CB" w:rsidP="00B27CE5">
      <w:pPr>
        <w:autoSpaceDE w:val="0"/>
        <w:spacing w:line="479" w:lineRule="exact"/>
        <w:jc w:val="center"/>
        <w:outlineLvl w:val="0"/>
        <w:rPr>
          <w:rFonts w:ascii="Arial" w:eastAsia="Times New Roman" w:hAnsi="Arial"/>
          <w:b/>
          <w:kern w:val="0"/>
          <w:lang w:eastAsia="it-IT" w:bidi="ar-SA"/>
        </w:rPr>
      </w:pPr>
      <w:bookmarkStart w:id="0" w:name="_Hlk510089849"/>
      <w:r>
        <w:rPr>
          <w:rFonts w:ascii="Arial" w:eastAsia="Times New Roman" w:hAnsi="Arial"/>
          <w:b/>
          <w:kern w:val="0"/>
          <w:lang w:eastAsia="it-IT" w:bidi="ar-SA"/>
        </w:rPr>
        <w:t>ART. 13</w:t>
      </w:r>
    </w:p>
    <w:bookmarkEnd w:id="0"/>
    <w:p w14:paraId="345D078C" w14:textId="77777777" w:rsidR="009A22AA" w:rsidRDefault="005476CB">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345D078E" w14:textId="2F6C4B45" w:rsidR="009A22AA" w:rsidRPr="00ED1D2E" w:rsidRDefault="005476CB" w:rsidP="00ED1D2E">
      <w:pPr>
        <w:pStyle w:val="Paragrafoelenco"/>
        <w:numPr>
          <w:ilvl w:val="0"/>
          <w:numId w:val="3"/>
        </w:num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345D078F" w14:textId="5D9704F3" w:rsidR="009A22AA" w:rsidRDefault="005476CB" w:rsidP="00B27CE5">
      <w:pPr>
        <w:autoSpaceDE w:val="0"/>
        <w:spacing w:line="479" w:lineRule="exact"/>
        <w:jc w:val="center"/>
        <w:outlineLvl w:val="0"/>
        <w:rPr>
          <w:rFonts w:hint="eastAsia"/>
        </w:rPr>
      </w:pPr>
      <w:r>
        <w:rPr>
          <w:rFonts w:ascii="Arial" w:eastAsia="Times New Roman" w:hAnsi="Arial"/>
          <w:b/>
          <w:kern w:val="0"/>
          <w:lang w:eastAsia="it-IT" w:bidi="ar-SA"/>
        </w:rPr>
        <w:t>ART. 14</w:t>
      </w:r>
    </w:p>
    <w:p w14:paraId="345D0791" w14:textId="76367966" w:rsidR="009A22AA" w:rsidRDefault="005476CB">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 xml:space="preserve">                                             NORME TRANSITORIE E FINALI (EVENTUALI)</w:t>
      </w:r>
    </w:p>
    <w:p w14:paraId="345D0792" w14:textId="77777777" w:rsidR="009A22AA" w:rsidRDefault="005476CB">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345D0793" w14:textId="77777777" w:rsidR="009A22AA" w:rsidRDefault="005476CB">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345D0794" w14:textId="77777777" w:rsidR="009A22AA" w:rsidRDefault="005476CB">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299B44A7" w14:textId="77777777" w:rsidR="00821C40" w:rsidRDefault="00821C40" w:rsidP="00821C40">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345D0795" w14:textId="77777777" w:rsidR="009A22AA" w:rsidRDefault="009A22AA">
      <w:pPr>
        <w:rPr>
          <w:rFonts w:hint="eastAsia"/>
        </w:rPr>
      </w:pPr>
    </w:p>
    <w:sectPr w:rsidR="009A22A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95C63" w14:textId="77777777" w:rsidR="00B6116F" w:rsidRDefault="00B6116F">
      <w:pPr>
        <w:rPr>
          <w:rFonts w:hint="eastAsia"/>
        </w:rPr>
      </w:pPr>
      <w:r>
        <w:separator/>
      </w:r>
    </w:p>
  </w:endnote>
  <w:endnote w:type="continuationSeparator" w:id="0">
    <w:p w14:paraId="4D8A88D2" w14:textId="77777777" w:rsidR="00B6116F" w:rsidRDefault="00B611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58A1C" w14:textId="77777777" w:rsidR="00B6116F" w:rsidRDefault="00B6116F">
      <w:pPr>
        <w:rPr>
          <w:rFonts w:hint="eastAsia"/>
        </w:rPr>
      </w:pPr>
      <w:r>
        <w:rPr>
          <w:color w:val="000000"/>
        </w:rPr>
        <w:separator/>
      </w:r>
    </w:p>
  </w:footnote>
  <w:footnote w:type="continuationSeparator" w:id="0">
    <w:p w14:paraId="56B7B640" w14:textId="77777777" w:rsidR="00B6116F" w:rsidRDefault="00B6116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E4137"/>
    <w:multiLevelType w:val="multilevel"/>
    <w:tmpl w:val="2506B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3B5824"/>
    <w:multiLevelType w:val="multilevel"/>
    <w:tmpl w:val="3FB6B9F0"/>
    <w:lvl w:ilvl="0">
      <w:start w:val="1"/>
      <w:numFmt w:val="lowerLetter"/>
      <w:lvlText w:val="%1)"/>
      <w:lvlJc w:val="left"/>
      <w:pPr>
        <w:ind w:left="785"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957425"/>
    <w:multiLevelType w:val="multilevel"/>
    <w:tmpl w:val="05A87FA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1676957003">
    <w:abstractNumId w:val="1"/>
  </w:num>
  <w:num w:numId="2" w16cid:durableId="1919904727">
    <w:abstractNumId w:val="2"/>
  </w:num>
  <w:num w:numId="3" w16cid:durableId="156205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AA"/>
    <w:rsid w:val="00004C8A"/>
    <w:rsid w:val="00062220"/>
    <w:rsid w:val="00114DCE"/>
    <w:rsid w:val="00290183"/>
    <w:rsid w:val="005476CB"/>
    <w:rsid w:val="00787351"/>
    <w:rsid w:val="007C0C1F"/>
    <w:rsid w:val="00821C40"/>
    <w:rsid w:val="008349A1"/>
    <w:rsid w:val="009A22AA"/>
    <w:rsid w:val="00A21BD0"/>
    <w:rsid w:val="00A70F0E"/>
    <w:rsid w:val="00B27CE5"/>
    <w:rsid w:val="00B6116F"/>
    <w:rsid w:val="00BC4854"/>
    <w:rsid w:val="00DE4FB3"/>
    <w:rsid w:val="00ED1D2E"/>
    <w:rsid w:val="00F10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0702"/>
  <w15:docId w15:val="{7DF30B1B-7DA7-471B-9E75-F8420F10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D93AF-8D50-49CF-B7EF-E67F2EB3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2CB25-B214-4779-A0DC-AD5EA36D72E6}">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3.xml><?xml version="1.0" encoding="utf-8"?>
<ds:datastoreItem xmlns:ds="http://schemas.openxmlformats.org/officeDocument/2006/customXml" ds:itemID="{8A6FB17D-3BDA-4205-B538-744FD1A53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3712</Words>
  <Characters>21159</Characters>
  <Application>Microsoft Office Word</Application>
  <DocSecurity>0</DocSecurity>
  <Lines>176</Lines>
  <Paragraphs>49</Paragraphs>
  <ScaleCrop>false</ScaleCrop>
  <Company>Regione Emilia-Romagna</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14</cp:revision>
  <dcterms:created xsi:type="dcterms:W3CDTF">2024-04-17T08:55:00Z</dcterms:created>
  <dcterms:modified xsi:type="dcterms:W3CDTF">2024-05-27T15:20:00Z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